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67CE5" w:rsidP="00E67CE5" w14:paraId="496CE412" w14:textId="2A16F1A2">
      <w:pPr>
        <w:spacing w:after="0" w:line="480" w:lineRule="auto"/>
        <w:jc w:val="center"/>
        <w:rPr>
          <w:rFonts w:ascii="Times New Roman" w:hAnsi="Times New Roman" w:cs="Times New Roman"/>
          <w:sz w:val="24"/>
          <w:szCs w:val="24"/>
        </w:rPr>
      </w:pPr>
    </w:p>
    <w:p w:rsidR="00EA5E34" w:rsidP="00E67CE5" w14:paraId="4D409A5C" w14:textId="426E9257">
      <w:pPr>
        <w:spacing w:after="0" w:line="480" w:lineRule="auto"/>
        <w:jc w:val="center"/>
        <w:rPr>
          <w:rFonts w:ascii="Times New Roman" w:hAnsi="Times New Roman" w:cs="Times New Roman"/>
          <w:sz w:val="24"/>
          <w:szCs w:val="24"/>
        </w:rPr>
      </w:pPr>
    </w:p>
    <w:p w:rsidR="00EA5E34" w:rsidP="00E67CE5" w14:paraId="26F0E20F" w14:textId="021D13BF">
      <w:pPr>
        <w:spacing w:after="0" w:line="480" w:lineRule="auto"/>
        <w:jc w:val="center"/>
        <w:rPr>
          <w:rFonts w:ascii="Times New Roman" w:hAnsi="Times New Roman" w:cs="Times New Roman"/>
          <w:sz w:val="24"/>
          <w:szCs w:val="24"/>
        </w:rPr>
      </w:pPr>
    </w:p>
    <w:p w:rsidR="00EA5E34" w:rsidP="00E67CE5" w14:paraId="308B4601" w14:textId="6A095002">
      <w:pPr>
        <w:spacing w:after="0" w:line="480" w:lineRule="auto"/>
        <w:jc w:val="center"/>
        <w:rPr>
          <w:rFonts w:ascii="Times New Roman" w:hAnsi="Times New Roman" w:cs="Times New Roman"/>
          <w:sz w:val="24"/>
          <w:szCs w:val="24"/>
        </w:rPr>
      </w:pPr>
    </w:p>
    <w:p w:rsidR="00EA5E34" w:rsidP="00E67CE5" w14:paraId="024F3DB0" w14:textId="34FE3E10">
      <w:pPr>
        <w:spacing w:after="0" w:line="480" w:lineRule="auto"/>
        <w:jc w:val="center"/>
        <w:rPr>
          <w:rFonts w:ascii="Times New Roman" w:hAnsi="Times New Roman" w:cs="Times New Roman"/>
          <w:sz w:val="24"/>
          <w:szCs w:val="24"/>
        </w:rPr>
      </w:pPr>
    </w:p>
    <w:p w:rsidR="00EA5E34" w:rsidP="00E67CE5" w14:paraId="189FBD57" w14:textId="432F6EB3">
      <w:pPr>
        <w:spacing w:after="0" w:line="480" w:lineRule="auto"/>
        <w:jc w:val="center"/>
        <w:rPr>
          <w:rFonts w:ascii="Times New Roman" w:hAnsi="Times New Roman" w:cs="Times New Roman"/>
          <w:sz w:val="24"/>
          <w:szCs w:val="24"/>
        </w:rPr>
      </w:pPr>
    </w:p>
    <w:p w:rsidR="00EA5E34" w:rsidP="00E67CE5" w14:paraId="0DB6966F" w14:textId="30B5C5CA">
      <w:pPr>
        <w:spacing w:after="0" w:line="480" w:lineRule="auto"/>
        <w:jc w:val="center"/>
        <w:rPr>
          <w:rFonts w:ascii="Times New Roman" w:hAnsi="Times New Roman" w:cs="Times New Roman"/>
          <w:sz w:val="24"/>
          <w:szCs w:val="24"/>
        </w:rPr>
      </w:pPr>
    </w:p>
    <w:p w:rsidR="00EA5E34" w:rsidP="00E67CE5" w14:paraId="4871A954" w14:textId="77777777">
      <w:pPr>
        <w:spacing w:after="0" w:line="480" w:lineRule="auto"/>
        <w:jc w:val="center"/>
        <w:rPr>
          <w:rFonts w:ascii="Times New Roman" w:hAnsi="Times New Roman" w:cs="Times New Roman"/>
          <w:sz w:val="24"/>
          <w:szCs w:val="24"/>
        </w:rPr>
      </w:pPr>
    </w:p>
    <w:p w:rsidR="00E67CE5" w:rsidRPr="00E67CE5" w:rsidP="00E67CE5" w14:paraId="71766D90" w14:textId="743BFA85">
      <w:pPr>
        <w:spacing w:after="0" w:line="480" w:lineRule="auto"/>
        <w:jc w:val="center"/>
        <w:rPr>
          <w:rFonts w:ascii="Times New Roman" w:hAnsi="Times New Roman" w:cs="Times New Roman"/>
          <w:sz w:val="24"/>
          <w:szCs w:val="24"/>
        </w:rPr>
      </w:pPr>
      <w:r w:rsidRPr="00F26665">
        <w:rPr>
          <w:rFonts w:ascii="Times New Roman" w:hAnsi="Times New Roman" w:cs="Times New Roman"/>
          <w:sz w:val="24"/>
          <w:szCs w:val="24"/>
        </w:rPr>
        <w:t xml:space="preserve">Article Summary </w:t>
      </w:r>
      <w:r>
        <w:rPr>
          <w:rFonts w:ascii="Times New Roman" w:hAnsi="Times New Roman" w:cs="Times New Roman"/>
          <w:sz w:val="24"/>
          <w:szCs w:val="24"/>
        </w:rPr>
        <w:t>a</w:t>
      </w:r>
      <w:r w:rsidRPr="00F26665">
        <w:rPr>
          <w:rFonts w:ascii="Times New Roman" w:hAnsi="Times New Roman" w:cs="Times New Roman"/>
          <w:sz w:val="24"/>
          <w:szCs w:val="24"/>
        </w:rPr>
        <w:t xml:space="preserve">nd Reflection </w:t>
      </w:r>
      <w:r>
        <w:rPr>
          <w:rFonts w:ascii="Times New Roman" w:hAnsi="Times New Roman" w:cs="Times New Roman"/>
          <w:sz w:val="24"/>
          <w:szCs w:val="24"/>
        </w:rPr>
        <w:t>o</w:t>
      </w:r>
      <w:r w:rsidRPr="00F26665">
        <w:rPr>
          <w:rFonts w:ascii="Times New Roman" w:hAnsi="Times New Roman" w:cs="Times New Roman"/>
          <w:sz w:val="24"/>
          <w:szCs w:val="24"/>
        </w:rPr>
        <w:t xml:space="preserve">n </w:t>
      </w:r>
      <w:r>
        <w:rPr>
          <w:rFonts w:ascii="Times New Roman" w:hAnsi="Times New Roman" w:cs="Times New Roman"/>
          <w:sz w:val="24"/>
          <w:szCs w:val="24"/>
        </w:rPr>
        <w:t>t</w:t>
      </w:r>
      <w:r w:rsidRPr="00F26665">
        <w:rPr>
          <w:rFonts w:ascii="Times New Roman" w:hAnsi="Times New Roman" w:cs="Times New Roman"/>
          <w:sz w:val="24"/>
          <w:szCs w:val="24"/>
        </w:rPr>
        <w:t xml:space="preserve">he Article </w:t>
      </w:r>
      <w:r>
        <w:rPr>
          <w:rFonts w:ascii="Times New Roman" w:hAnsi="Times New Roman" w:cs="Times New Roman"/>
          <w:sz w:val="24"/>
          <w:szCs w:val="24"/>
        </w:rPr>
        <w:t>About</w:t>
      </w:r>
      <w:r w:rsidRPr="00F26665">
        <w:rPr>
          <w:rFonts w:ascii="Times New Roman" w:hAnsi="Times New Roman" w:cs="Times New Roman"/>
          <w:sz w:val="24"/>
          <w:szCs w:val="24"/>
        </w:rPr>
        <w:t xml:space="preserve"> Judicial Waiver</w:t>
      </w:r>
    </w:p>
    <w:p w:rsidR="00E67CE5" w:rsidP="00E67CE5" w14:paraId="6756242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7CE5" w:rsidP="00EA5E34" w14:paraId="2854BF02" w14:textId="47EEB0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A5E34">
        <w:rPr>
          <w:rFonts w:ascii="Times New Roman" w:hAnsi="Times New Roman" w:cs="Times New Roman"/>
          <w:sz w:val="24"/>
          <w:szCs w:val="24"/>
        </w:rPr>
        <w:t>s</w:t>
      </w:r>
    </w:p>
    <w:p w:rsidR="00EA5E34" w:rsidP="00E67CE5" w14:paraId="4155C2D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67CE5" w:rsidRPr="00E67CE5" w:rsidP="00E67CE5" w14:paraId="56307C61" w14:textId="169DDDE1">
      <w:pPr>
        <w:spacing w:after="0" w:line="480" w:lineRule="auto"/>
        <w:jc w:val="center"/>
        <w:rPr>
          <w:rFonts w:ascii="Times New Roman" w:hAnsi="Times New Roman" w:cs="Times New Roman"/>
          <w:sz w:val="24"/>
          <w:szCs w:val="24"/>
        </w:rPr>
      </w:pPr>
      <w:r w:rsidRPr="00F26665">
        <w:rPr>
          <w:rFonts w:ascii="Times New Roman" w:hAnsi="Times New Roman" w:cs="Times New Roman"/>
          <w:sz w:val="24"/>
          <w:szCs w:val="24"/>
        </w:rPr>
        <w:t xml:space="preserve">Article Summary </w:t>
      </w:r>
      <w:r>
        <w:rPr>
          <w:rFonts w:ascii="Times New Roman" w:hAnsi="Times New Roman" w:cs="Times New Roman"/>
          <w:sz w:val="24"/>
          <w:szCs w:val="24"/>
        </w:rPr>
        <w:t>a</w:t>
      </w:r>
      <w:r w:rsidRPr="00F26665">
        <w:rPr>
          <w:rFonts w:ascii="Times New Roman" w:hAnsi="Times New Roman" w:cs="Times New Roman"/>
          <w:sz w:val="24"/>
          <w:szCs w:val="24"/>
        </w:rPr>
        <w:t xml:space="preserve">nd Reflection </w:t>
      </w:r>
      <w:r>
        <w:rPr>
          <w:rFonts w:ascii="Times New Roman" w:hAnsi="Times New Roman" w:cs="Times New Roman"/>
          <w:sz w:val="24"/>
          <w:szCs w:val="24"/>
        </w:rPr>
        <w:t>o</w:t>
      </w:r>
      <w:r w:rsidRPr="00F26665">
        <w:rPr>
          <w:rFonts w:ascii="Times New Roman" w:hAnsi="Times New Roman" w:cs="Times New Roman"/>
          <w:sz w:val="24"/>
          <w:szCs w:val="24"/>
        </w:rPr>
        <w:t xml:space="preserve">n </w:t>
      </w:r>
      <w:r>
        <w:rPr>
          <w:rFonts w:ascii="Times New Roman" w:hAnsi="Times New Roman" w:cs="Times New Roman"/>
          <w:sz w:val="24"/>
          <w:szCs w:val="24"/>
        </w:rPr>
        <w:t>t</w:t>
      </w:r>
      <w:r w:rsidRPr="00F26665">
        <w:rPr>
          <w:rFonts w:ascii="Times New Roman" w:hAnsi="Times New Roman" w:cs="Times New Roman"/>
          <w:sz w:val="24"/>
          <w:szCs w:val="24"/>
        </w:rPr>
        <w:t xml:space="preserve">he Article </w:t>
      </w:r>
      <w:r w:rsidR="00CC6436">
        <w:rPr>
          <w:rFonts w:ascii="Times New Roman" w:hAnsi="Times New Roman" w:cs="Times New Roman"/>
          <w:sz w:val="24"/>
          <w:szCs w:val="24"/>
        </w:rPr>
        <w:t>A</w:t>
      </w:r>
      <w:r>
        <w:rPr>
          <w:rFonts w:ascii="Times New Roman" w:hAnsi="Times New Roman" w:cs="Times New Roman"/>
          <w:sz w:val="24"/>
          <w:szCs w:val="24"/>
        </w:rPr>
        <w:t>bout</w:t>
      </w:r>
      <w:r w:rsidRPr="00F26665">
        <w:rPr>
          <w:rFonts w:ascii="Times New Roman" w:hAnsi="Times New Roman" w:cs="Times New Roman"/>
          <w:sz w:val="24"/>
          <w:szCs w:val="24"/>
        </w:rPr>
        <w:t xml:space="preserve"> Judicial Waiver</w:t>
      </w:r>
    </w:p>
    <w:p w:rsidR="00E67CE5" w:rsidP="00E67CE5" w14:paraId="1D20681D" w14:textId="77777777">
      <w:pPr>
        <w:spacing w:after="0" w:line="480" w:lineRule="auto"/>
        <w:ind w:firstLine="720"/>
        <w:rPr>
          <w:rFonts w:ascii="Times New Roman" w:hAnsi="Times New Roman" w:cs="Times New Roman"/>
          <w:sz w:val="24"/>
          <w:szCs w:val="24"/>
        </w:rPr>
      </w:pPr>
      <w:r w:rsidRPr="00E67CE5">
        <w:rPr>
          <w:rFonts w:ascii="Times New Roman" w:hAnsi="Times New Roman" w:cs="Times New Roman"/>
          <w:sz w:val="24"/>
          <w:szCs w:val="24"/>
        </w:rPr>
        <w:t>The article "Trends of the Time: An Examination of Judicial Waiver in one State" authored by Alison Burke and published in September 2015 compares and contrasts how girls and boys who have been involved in criminal acts were judicially waived to adult court in between 1994 and 2000. According to Burke (2015), data from this period shows that there may be other factors that influence judicial decision making regarding  juvenile transfer. Among the key factors, Burke highlights in the article that she believes influences the judicial decision making include current offense, prior record, and amenability to treatment. However, she has also noted that gender may be playing a key role in the judicial decision making regarding juvenile transfer from the juvenile courts to adult court. 
</w:t>
      </w:r>
    </w:p>
    <w:p w:rsidR="00E67CE5" w:rsidP="00E67CE5" w14:paraId="7F46CFF6" w14:textId="77777777">
      <w:pPr>
        <w:spacing w:after="0" w:line="480" w:lineRule="auto"/>
        <w:ind w:firstLine="720"/>
        <w:rPr>
          <w:rFonts w:ascii="Times New Roman" w:hAnsi="Times New Roman" w:cs="Times New Roman"/>
          <w:sz w:val="24"/>
          <w:szCs w:val="24"/>
        </w:rPr>
      </w:pPr>
      <w:r w:rsidRPr="00E67CE5">
        <w:rPr>
          <w:rFonts w:ascii="Times New Roman" w:hAnsi="Times New Roman" w:cs="Times New Roman"/>
          <w:sz w:val="24"/>
          <w:szCs w:val="24"/>
        </w:rPr>
        <w:t xml:space="preserve">According to Burke (2015), judges apply the waiver decisions in a discriminatory and arbitrary manner. While discussing the influence of the variables on judicial decisions, Burke (2015) noted that some decisions are based on the legal factors while others are just driven by what she describes as “extralegal factors” (p. 822). The extra-legal factors include race, gender, age, and other demographic variables. Other extra-legal factors that the author noted in her study include enrolment in school. As a result, the courts are not doing what was intended when the juvenile courts were established. </w:t>
      </w:r>
    </w:p>
    <w:p w:rsidR="00E67CE5" w:rsidP="00F26665" w14:paraId="58FEE20C" w14:textId="44581BCA">
      <w:pPr>
        <w:spacing w:after="0" w:line="480" w:lineRule="auto"/>
        <w:ind w:firstLine="720"/>
        <w:rPr>
          <w:rFonts w:ascii="Times New Roman" w:hAnsi="Times New Roman" w:cs="Times New Roman"/>
          <w:sz w:val="24"/>
          <w:szCs w:val="24"/>
        </w:rPr>
      </w:pPr>
      <w:r w:rsidRPr="00E67CE5">
        <w:rPr>
          <w:rFonts w:ascii="Times New Roman" w:hAnsi="Times New Roman" w:cs="Times New Roman"/>
          <w:sz w:val="24"/>
          <w:szCs w:val="24"/>
        </w:rPr>
        <w:t xml:space="preserve">As Hannan (2014) further explains the juvenile system has changed significantly in the past decades. However, these reforms have not impacted the judicial system in a better way, but rather it has created a new outlook on the juvenile justice system. According to Hannan (2014), the juvenile system has adopted policies of retribution and punishment instead of the initially intended aim of rehabilitation. As Burke (2015) explains, with the changes and a new mechanism of deciding who to transfer from the juvenile courts to adult court, gender and race research </w:t>
      </w:r>
      <w:r w:rsidRPr="00E67CE5">
        <w:rPr>
          <w:rFonts w:ascii="Times New Roman" w:hAnsi="Times New Roman" w:cs="Times New Roman"/>
          <w:sz w:val="24"/>
          <w:szCs w:val="24"/>
        </w:rPr>
        <w:t>shows that girls and the minority groups are the most affected by these reforms. Based on the case study of Arizona juvenile transfer of juveniles to adult court, Burke noted that the extra-legal factors might have affected the sentence outcomes in many incidences. In her study, she noted that out of these changes, the two genders might be subjected to different punishments for the same offense (Burke, 2015). She found that a greater number of girls were transferred for non-violent crimes as opposed to violent crimes.
</w:t>
      </w:r>
      <w:bookmarkStart w:id="0" w:name="_GoBack"/>
      <w:bookmarkEnd w:id="0"/>
    </w:p>
    <w:p w:rsidR="00F26665" w:rsidP="00E67CE5" w14:paraId="246CA2E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67CE5" w:rsidRPr="00E67CE5" w:rsidP="00E67CE5" w14:paraId="4532DED8" w14:textId="63007A9C">
      <w:pPr>
        <w:spacing w:after="0" w:line="480" w:lineRule="auto"/>
        <w:jc w:val="center"/>
        <w:rPr>
          <w:rFonts w:ascii="Times New Roman" w:hAnsi="Times New Roman" w:cs="Times New Roman"/>
          <w:sz w:val="24"/>
          <w:szCs w:val="24"/>
        </w:rPr>
      </w:pPr>
      <w:r w:rsidRPr="00E67CE5">
        <w:rPr>
          <w:rFonts w:ascii="Times New Roman" w:hAnsi="Times New Roman" w:cs="Times New Roman"/>
          <w:sz w:val="24"/>
          <w:szCs w:val="24"/>
        </w:rPr>
        <w:t>References</w:t>
      </w:r>
    </w:p>
    <w:p w:rsidR="00E67CE5" w:rsidRPr="0058795B" w:rsidP="00E67CE5" w14:paraId="4B9BE14E" w14:textId="77777777">
      <w:pPr>
        <w:spacing w:after="0" w:line="480" w:lineRule="auto"/>
        <w:ind w:left="720" w:hanging="720"/>
        <w:rPr>
          <w:rFonts w:ascii="Times New Roman" w:hAnsi="Times New Roman" w:cs="Times New Roman"/>
          <w:color w:val="222222"/>
          <w:sz w:val="24"/>
          <w:szCs w:val="24"/>
          <w:shd w:val="clear" w:color="auto" w:fill="FFFFFF"/>
        </w:rPr>
      </w:pPr>
      <w:r w:rsidRPr="0058795B">
        <w:rPr>
          <w:rFonts w:ascii="Times New Roman" w:hAnsi="Times New Roman" w:cs="Times New Roman"/>
          <w:color w:val="222222"/>
          <w:sz w:val="24"/>
          <w:szCs w:val="24"/>
          <w:shd w:val="clear" w:color="auto" w:fill="FFFFFF"/>
        </w:rPr>
        <w:t>Burke, A. S. (2015). Trends of the Time: An Examination of Judicial Waiver in One State. </w:t>
      </w:r>
      <w:r w:rsidRPr="0058795B">
        <w:rPr>
          <w:rFonts w:ascii="Times New Roman" w:hAnsi="Times New Roman" w:cs="Times New Roman"/>
          <w:i/>
          <w:iCs/>
          <w:color w:val="222222"/>
          <w:sz w:val="24"/>
          <w:szCs w:val="24"/>
          <w:shd w:val="clear" w:color="auto" w:fill="FFFFFF"/>
        </w:rPr>
        <w:t>Social Sciences</w:t>
      </w:r>
      <w:r w:rsidRPr="0058795B">
        <w:rPr>
          <w:rFonts w:ascii="Times New Roman" w:hAnsi="Times New Roman" w:cs="Times New Roman"/>
          <w:color w:val="222222"/>
          <w:sz w:val="24"/>
          <w:szCs w:val="24"/>
          <w:shd w:val="clear" w:color="auto" w:fill="FFFFFF"/>
        </w:rPr>
        <w:t>, </w:t>
      </w:r>
      <w:r w:rsidRPr="0058795B">
        <w:rPr>
          <w:rFonts w:ascii="Times New Roman" w:hAnsi="Times New Roman" w:cs="Times New Roman"/>
          <w:i/>
          <w:iCs/>
          <w:color w:val="222222"/>
          <w:sz w:val="24"/>
          <w:szCs w:val="24"/>
          <w:shd w:val="clear" w:color="auto" w:fill="FFFFFF"/>
        </w:rPr>
        <w:t>4</w:t>
      </w:r>
      <w:r w:rsidRPr="0058795B">
        <w:rPr>
          <w:rFonts w:ascii="Times New Roman" w:hAnsi="Times New Roman" w:cs="Times New Roman"/>
          <w:color w:val="222222"/>
          <w:sz w:val="24"/>
          <w:szCs w:val="24"/>
          <w:shd w:val="clear" w:color="auto" w:fill="FFFFFF"/>
        </w:rPr>
        <w:t xml:space="preserve">(3), 820-837. </w:t>
      </w:r>
    </w:p>
    <w:p w:rsidR="00E67CE5" w:rsidRPr="00E67CE5" w:rsidP="00F26665" w14:paraId="6947F787" w14:textId="032EE8C2">
      <w:pPr>
        <w:spacing w:after="0" w:line="480" w:lineRule="auto"/>
        <w:ind w:left="720" w:hanging="720"/>
        <w:rPr>
          <w:rFonts w:ascii="Times New Roman" w:hAnsi="Times New Roman" w:cs="Times New Roman"/>
          <w:sz w:val="24"/>
          <w:szCs w:val="24"/>
        </w:rPr>
      </w:pPr>
      <w:r w:rsidRPr="0058795B">
        <w:rPr>
          <w:rFonts w:ascii="Times New Roman" w:hAnsi="Times New Roman" w:cs="Times New Roman"/>
          <w:color w:val="222222"/>
          <w:sz w:val="24"/>
          <w:szCs w:val="24"/>
          <w:shd w:val="clear" w:color="auto" w:fill="FFFFFF"/>
        </w:rPr>
        <w:t>Hannan, W. (2014). Judicial waiver as the only equitable method to transfer juvenile offenders to criminal court. </w:t>
      </w:r>
      <w:r w:rsidRPr="0058795B">
        <w:rPr>
          <w:rFonts w:ascii="Times New Roman" w:hAnsi="Times New Roman" w:cs="Times New Roman"/>
          <w:i/>
          <w:iCs/>
          <w:color w:val="222222"/>
          <w:sz w:val="24"/>
          <w:szCs w:val="24"/>
          <w:shd w:val="clear" w:color="auto" w:fill="FFFFFF"/>
        </w:rPr>
        <w:t>Notre Dame JL Ethics &amp; Pub. Pol'y</w:t>
      </w:r>
      <w:r w:rsidRPr="0058795B">
        <w:rPr>
          <w:rFonts w:ascii="Times New Roman" w:hAnsi="Times New Roman" w:cs="Times New Roman"/>
          <w:color w:val="222222"/>
          <w:sz w:val="24"/>
          <w:szCs w:val="24"/>
          <w:shd w:val="clear" w:color="auto" w:fill="FFFFFF"/>
        </w:rPr>
        <w:t>, </w:t>
      </w:r>
      <w:r w:rsidRPr="0058795B">
        <w:rPr>
          <w:rFonts w:ascii="Times New Roman" w:hAnsi="Times New Roman" w:cs="Times New Roman"/>
          <w:i/>
          <w:iCs/>
          <w:color w:val="222222"/>
          <w:sz w:val="24"/>
          <w:szCs w:val="24"/>
          <w:shd w:val="clear" w:color="auto" w:fill="FFFFFF"/>
        </w:rPr>
        <w:t>22 (1)</w:t>
      </w:r>
      <w:r w:rsidRPr="0058795B">
        <w:rPr>
          <w:rFonts w:ascii="Times New Roman" w:hAnsi="Times New Roman" w:cs="Times New Roman"/>
          <w:color w:val="222222"/>
          <w:sz w:val="24"/>
          <w:szCs w:val="24"/>
          <w:shd w:val="clear" w:color="auto" w:fill="FFFFFF"/>
        </w:rPr>
        <w:t>, 193. Retrieved from https://scholarship.law.nd.edu/cgi/viewcontent.cgi?article=1119&amp;context=ndjlepp</w:t>
      </w:r>
    </w:p>
    <w:sectPr w:rsidSect="00E67CE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7CE5" w:rsidRPr="00F26665" w:rsidP="00E67CE5" w14:paraId="60F61C45" w14:textId="5A2253D4">
    <w:pPr>
      <w:pStyle w:val="Header"/>
      <w:rPr>
        <w:rFonts w:ascii="Times New Roman" w:hAnsi="Times New Roman" w:cs="Times New Roman"/>
        <w:sz w:val="20"/>
        <w:szCs w:val="20"/>
      </w:rPr>
    </w:pPr>
    <w:r w:rsidRPr="00F26665">
      <w:rPr>
        <w:rFonts w:ascii="Times New Roman" w:hAnsi="Times New Roman" w:cs="Times New Roman"/>
        <w:sz w:val="20"/>
        <w:szCs w:val="20"/>
      </w:rPr>
      <w:t xml:space="preserve">ARTICLE SUMMARY AND REFLECTION ON THE ARTICLE </w:t>
    </w:r>
    <w:r>
      <w:rPr>
        <w:rFonts w:ascii="Times New Roman" w:hAnsi="Times New Roman" w:cs="Times New Roman"/>
        <w:sz w:val="20"/>
        <w:szCs w:val="20"/>
      </w:rPr>
      <w:t>ABOUT</w:t>
    </w:r>
    <w:r w:rsidRPr="00F26665">
      <w:rPr>
        <w:rFonts w:ascii="Times New Roman" w:hAnsi="Times New Roman" w:cs="Times New Roman"/>
        <w:sz w:val="20"/>
        <w:szCs w:val="20"/>
      </w:rPr>
      <w:t xml:space="preserve"> JUDICIAL WAIVER</w:t>
    </w:r>
    <w:r w:rsidRPr="00F26665">
      <w:rPr>
        <w:rFonts w:ascii="Times New Roman" w:hAnsi="Times New Roman" w:cs="Times New Roman"/>
        <w:sz w:val="20"/>
        <w:szCs w:val="20"/>
      </w:rPr>
      <w:tab/>
    </w:r>
    <w:r w:rsidRPr="00F26665">
      <w:rPr>
        <w:rFonts w:ascii="Times New Roman" w:hAnsi="Times New Roman" w:cs="Times New Roman"/>
        <w:sz w:val="20"/>
        <w:szCs w:val="20"/>
      </w:rPr>
      <w:fldChar w:fldCharType="begin"/>
    </w:r>
    <w:r w:rsidRPr="00F26665">
      <w:rPr>
        <w:rFonts w:ascii="Times New Roman" w:hAnsi="Times New Roman" w:cs="Times New Roman"/>
        <w:sz w:val="20"/>
        <w:szCs w:val="20"/>
      </w:rPr>
      <w:instrText xml:space="preserve"> PAGE   \* MERGEFORMAT </w:instrText>
    </w:r>
    <w:r w:rsidRPr="00F26665">
      <w:rPr>
        <w:rFonts w:ascii="Times New Roman" w:hAnsi="Times New Roman" w:cs="Times New Roman"/>
        <w:sz w:val="20"/>
        <w:szCs w:val="20"/>
      </w:rPr>
      <w:fldChar w:fldCharType="separate"/>
    </w:r>
    <w:r w:rsidRPr="00F26665">
      <w:rPr>
        <w:rFonts w:ascii="Times New Roman" w:hAnsi="Times New Roman" w:cs="Times New Roman"/>
        <w:noProof/>
        <w:sz w:val="20"/>
        <w:szCs w:val="20"/>
      </w:rPr>
      <w:t>2</w:t>
    </w:r>
    <w:r w:rsidRPr="00F26665">
      <w:rPr>
        <w:rFonts w:ascii="Times New Roman" w:hAnsi="Times New Roman" w:cs="Times New Roman"/>
        <w:noProof/>
        <w:sz w:val="20"/>
        <w:szCs w:val="20"/>
      </w:rPr>
      <w:fldChar w:fldCharType="end"/>
    </w:r>
  </w:p>
  <w:p w:rsidR="00E67CE5" w14:paraId="5CA777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7CE5" w:rsidRPr="00F26665" w14:paraId="10F0AFAC" w14:textId="561FB39A">
    <w:pPr>
      <w:pStyle w:val="Header"/>
      <w:rPr>
        <w:rFonts w:ascii="Times New Roman" w:hAnsi="Times New Roman" w:cs="Times New Roman"/>
        <w:sz w:val="20"/>
        <w:szCs w:val="20"/>
      </w:rPr>
    </w:pPr>
    <w:r w:rsidRPr="00F26665">
      <w:rPr>
        <w:rFonts w:ascii="Times New Roman" w:hAnsi="Times New Roman" w:cs="Times New Roman"/>
        <w:sz w:val="20"/>
        <w:szCs w:val="20"/>
      </w:rPr>
      <w:t xml:space="preserve">Running head: </w:t>
    </w:r>
    <w:bookmarkStart w:id="1" w:name="_Hlk535760570"/>
    <w:r w:rsidRPr="00F26665" w:rsidR="00F26665">
      <w:rPr>
        <w:rFonts w:ascii="Times New Roman" w:hAnsi="Times New Roman" w:cs="Times New Roman"/>
        <w:sz w:val="20"/>
        <w:szCs w:val="20"/>
      </w:rPr>
      <w:t xml:space="preserve">ARTICLE SUMMARY AND REFLECTION ON </w:t>
    </w:r>
    <w:r w:rsidR="00F26665">
      <w:rPr>
        <w:rFonts w:ascii="Times New Roman" w:hAnsi="Times New Roman" w:cs="Times New Roman"/>
        <w:sz w:val="20"/>
        <w:szCs w:val="20"/>
      </w:rPr>
      <w:t xml:space="preserve">THE ARTICLE ABOUT </w:t>
    </w:r>
    <w:r w:rsidRPr="00F26665">
      <w:rPr>
        <w:rFonts w:ascii="Times New Roman" w:hAnsi="Times New Roman" w:cs="Times New Roman"/>
        <w:sz w:val="20"/>
        <w:szCs w:val="20"/>
      </w:rPr>
      <w:t>JUDICIAL WAIVER</w:t>
    </w:r>
    <w:bookmarkEnd w:id="1"/>
    <w:r w:rsidRPr="00F26665">
      <w:rPr>
        <w:rFonts w:ascii="Times New Roman" w:hAnsi="Times New Roman" w:cs="Times New Roman"/>
        <w:sz w:val="20"/>
        <w:szCs w:val="20"/>
      </w:rPr>
      <w:tab/>
    </w:r>
    <w:r w:rsidRPr="00F26665">
      <w:rPr>
        <w:rFonts w:ascii="Times New Roman" w:hAnsi="Times New Roman" w:cs="Times New Roman"/>
        <w:sz w:val="20"/>
        <w:szCs w:val="20"/>
      </w:rPr>
      <w:fldChar w:fldCharType="begin"/>
    </w:r>
    <w:r w:rsidRPr="00F26665">
      <w:rPr>
        <w:rFonts w:ascii="Times New Roman" w:hAnsi="Times New Roman" w:cs="Times New Roman"/>
        <w:sz w:val="20"/>
        <w:szCs w:val="20"/>
      </w:rPr>
      <w:instrText xml:space="preserve"> PAGE   \* MERGEFORMAT </w:instrText>
    </w:r>
    <w:r w:rsidRPr="00F26665">
      <w:rPr>
        <w:rFonts w:ascii="Times New Roman" w:hAnsi="Times New Roman" w:cs="Times New Roman"/>
        <w:sz w:val="20"/>
        <w:szCs w:val="20"/>
      </w:rPr>
      <w:fldChar w:fldCharType="separate"/>
    </w:r>
    <w:r w:rsidRPr="00F26665">
      <w:rPr>
        <w:rFonts w:ascii="Times New Roman" w:hAnsi="Times New Roman" w:cs="Times New Roman"/>
        <w:noProof/>
        <w:sz w:val="20"/>
        <w:szCs w:val="20"/>
      </w:rPr>
      <w:t>1</w:t>
    </w:r>
    <w:r w:rsidRPr="00F26665">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E7656"/>
    <w:rsid w:val="00062082"/>
    <w:rsid w:val="004F2E7B"/>
    <w:rsid w:val="0058795B"/>
    <w:rsid w:val="00667E8D"/>
    <w:rsid w:val="008C5237"/>
    <w:rsid w:val="009E7656"/>
    <w:rsid w:val="00CC6436"/>
    <w:rsid w:val="00E67CE5"/>
    <w:rsid w:val="00EA5E34"/>
    <w:rsid w:val="00F266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BB7D39F-BC58-483E-8799-320EEB62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CE5"/>
  </w:style>
  <w:style w:type="paragraph" w:styleId="Footer">
    <w:name w:val="footer"/>
    <w:basedOn w:val="Normal"/>
    <w:link w:val="FooterChar"/>
    <w:uiPriority w:val="99"/>
    <w:unhideWhenUsed/>
    <w:rsid w:val="00E67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2019-01-20T06:09:00Z</dcterms:created>
  <dcterms:modified xsi:type="dcterms:W3CDTF">2019-01-20T12:16:00Z</dcterms:modified>
</cp:coreProperties>
</file>